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F" w:rsidRDefault="0080550F" w:rsidP="00215D49">
      <w:pPr>
        <w:jc w:val="both"/>
      </w:pPr>
      <w:r>
        <w:t xml:space="preserve">AFFIDAMENTO </w:t>
      </w:r>
      <w:r w:rsidR="0034539E">
        <w:t xml:space="preserve">SERVIZIO INTEGRATO DI </w:t>
      </w:r>
      <w:r w:rsidR="000C7590">
        <w:t xml:space="preserve">BIGLIETTERIA </w:t>
      </w:r>
      <w:r w:rsidR="0034539E">
        <w:t xml:space="preserve">ELETTRONICA </w:t>
      </w:r>
      <w:r w:rsidR="000C7590">
        <w:t xml:space="preserve">PER IL </w:t>
      </w:r>
      <w:r w:rsidR="0034539E">
        <w:t>COMPLESSO MONUMENTALE  CASTELLO DI MILAZZO</w:t>
      </w:r>
    </w:p>
    <w:p w:rsidR="0080550F" w:rsidRDefault="00C116AE" w:rsidP="00215D49">
      <w:pPr>
        <w:jc w:val="both"/>
      </w:pPr>
      <w:r>
        <w:t xml:space="preserve">                                                                          </w:t>
      </w:r>
      <w:r w:rsidR="009653AE">
        <w:t>DISCIPLINARE</w:t>
      </w:r>
    </w:p>
    <w:p w:rsidR="0080550F" w:rsidRDefault="0080550F" w:rsidP="00215D49">
      <w:pPr>
        <w:jc w:val="center"/>
      </w:pPr>
      <w:r>
        <w:t>Art. 1</w:t>
      </w:r>
      <w:r w:rsidR="00215D49">
        <w:t xml:space="preserve"> - </w:t>
      </w:r>
      <w:r>
        <w:t>Oggetto della concessione</w:t>
      </w:r>
    </w:p>
    <w:p w:rsidR="0080550F" w:rsidRDefault="0080550F" w:rsidP="00215D49">
      <w:pPr>
        <w:jc w:val="both"/>
      </w:pPr>
      <w:r>
        <w:t xml:space="preserve">L’oggetto della presente procedura è la concessione </w:t>
      </w:r>
      <w:r w:rsidR="00C464F2">
        <w:t xml:space="preserve">del servizio di </w:t>
      </w:r>
      <w:r w:rsidR="000C7590">
        <w:t xml:space="preserve">biglietteria </w:t>
      </w:r>
      <w:r w:rsidR="00C464F2">
        <w:t>elettronica integrata presso il Complesso Monumentale Castello di Milazzo</w:t>
      </w:r>
      <w:r>
        <w:t>.</w:t>
      </w:r>
    </w:p>
    <w:p w:rsidR="00C464F2" w:rsidRDefault="0080550F" w:rsidP="00215D49">
      <w:pPr>
        <w:jc w:val="center"/>
      </w:pPr>
      <w:r>
        <w:t>Art.</w:t>
      </w:r>
      <w:r w:rsidR="009A2739">
        <w:t xml:space="preserve"> </w:t>
      </w:r>
      <w:r>
        <w:t>2</w:t>
      </w:r>
      <w:r w:rsidR="00215D49">
        <w:t xml:space="preserve"> </w:t>
      </w:r>
      <w:r w:rsidR="00C464F2">
        <w:t>–</w:t>
      </w:r>
      <w:r w:rsidR="00215D49">
        <w:t xml:space="preserve"> </w:t>
      </w:r>
      <w:r w:rsidR="00C464F2">
        <w:t>Articolazione del servizio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Il servizio consiste in :</w:t>
      </w:r>
    </w:p>
    <w:p w:rsidR="00C464F2" w:rsidRPr="00C464F2" w:rsidRDefault="00C464F2" w:rsidP="00C464F2">
      <w:pPr>
        <w:pStyle w:val="Paragrafoelenco"/>
        <w:numPr>
          <w:ilvl w:val="0"/>
          <w:numId w:val="1"/>
        </w:numPr>
        <w:ind w:left="284" w:hanging="284"/>
        <w:rPr>
          <w:rFonts w:cstheme="minorHAnsi"/>
        </w:rPr>
      </w:pPr>
      <w:r w:rsidRPr="00C464F2">
        <w:rPr>
          <w:rFonts w:cstheme="minorHAnsi"/>
        </w:rPr>
        <w:t xml:space="preserve">Servizio di biglietteria elettronica con possibilità di  </w:t>
      </w:r>
      <w:proofErr w:type="spellStart"/>
      <w:r w:rsidRPr="00C464F2">
        <w:rPr>
          <w:rFonts w:cstheme="minorHAnsi"/>
        </w:rPr>
        <w:t>ticketing</w:t>
      </w:r>
      <w:proofErr w:type="spellEnd"/>
      <w:r w:rsidRPr="00C464F2">
        <w:rPr>
          <w:rFonts w:cstheme="minorHAnsi"/>
        </w:rPr>
        <w:t xml:space="preserve"> on-line e relativo software per la  gestione e relativo materiale consumabile (</w:t>
      </w:r>
      <w:r w:rsidR="000C7590">
        <w:rPr>
          <w:rFonts w:cstheme="minorHAnsi"/>
        </w:rPr>
        <w:t>c</w:t>
      </w:r>
      <w:r w:rsidRPr="00C464F2">
        <w:rPr>
          <w:rFonts w:cstheme="minorHAnsi"/>
        </w:rPr>
        <w:t xml:space="preserve">arta, toner </w:t>
      </w:r>
      <w:proofErr w:type="spellStart"/>
      <w:r w:rsidRPr="00C464F2">
        <w:rPr>
          <w:rFonts w:cstheme="minorHAnsi"/>
        </w:rPr>
        <w:t>etc</w:t>
      </w:r>
      <w:proofErr w:type="spellEnd"/>
      <w:r w:rsidRPr="00C464F2">
        <w:rPr>
          <w:rFonts w:cstheme="minorHAnsi"/>
        </w:rPr>
        <w:t>)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 xml:space="preserve">3. Audioguide  per individuali e radioguide per gruppi; </w:t>
      </w:r>
    </w:p>
    <w:p w:rsidR="00C464F2" w:rsidRPr="00C464F2" w:rsidRDefault="005377F3" w:rsidP="00C464F2">
      <w:pPr>
        <w:rPr>
          <w:rFonts w:cstheme="minorHAnsi"/>
        </w:rPr>
      </w:pPr>
      <w:r>
        <w:rPr>
          <w:rFonts w:cstheme="minorHAnsi"/>
        </w:rPr>
        <w:t xml:space="preserve">4. </w:t>
      </w:r>
      <w:r w:rsidR="000C7590">
        <w:rPr>
          <w:rFonts w:cstheme="minorHAnsi"/>
        </w:rPr>
        <w:t>Fornitura in c</w:t>
      </w:r>
      <w:r w:rsidR="00C464F2" w:rsidRPr="00C464F2">
        <w:rPr>
          <w:rFonts w:cstheme="minorHAnsi"/>
        </w:rPr>
        <w:t xml:space="preserve">omodato d’uso </w:t>
      </w:r>
      <w:r w:rsidR="000C7590">
        <w:rPr>
          <w:rFonts w:cstheme="minorHAnsi"/>
        </w:rPr>
        <w:t>dell</w:t>
      </w:r>
      <w:r w:rsidR="00C464F2" w:rsidRPr="00C464F2">
        <w:rPr>
          <w:rFonts w:cstheme="minorHAnsi"/>
        </w:rPr>
        <w:t>’hardware</w:t>
      </w:r>
      <w:r w:rsidR="000C7590">
        <w:rPr>
          <w:rFonts w:cstheme="minorHAnsi"/>
        </w:rPr>
        <w:t xml:space="preserve"> (stampanti, computer, radioguide, audioguide </w:t>
      </w:r>
      <w:proofErr w:type="spellStart"/>
      <w:r w:rsidR="000C7590">
        <w:rPr>
          <w:rFonts w:cstheme="minorHAnsi"/>
        </w:rPr>
        <w:t>etc</w:t>
      </w:r>
      <w:proofErr w:type="spellEnd"/>
      <w:r w:rsidR="000C7590">
        <w:rPr>
          <w:rFonts w:cstheme="minorHAnsi"/>
        </w:rPr>
        <w:t>);</w:t>
      </w:r>
      <w:r w:rsidR="00C464F2" w:rsidRPr="00C464F2">
        <w:rPr>
          <w:rFonts w:cstheme="minorHAnsi"/>
        </w:rPr>
        <w:t xml:space="preserve"> 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5. Segnaletica interna al monumento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6. Produzione di contenuti (in almeno 4 lingue)</w:t>
      </w:r>
      <w:r>
        <w:rPr>
          <w:rFonts w:cstheme="minorHAnsi"/>
        </w:rPr>
        <w:t>;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7. Promozione</w:t>
      </w:r>
      <w:r>
        <w:rPr>
          <w:rFonts w:cstheme="minorHAnsi"/>
        </w:rPr>
        <w:t xml:space="preserve"> attraverso il sito dell’azienda fornitrice a tramite azioni tradizionali (conferenze, comunicati stampa) ed azioni di web marketing</w:t>
      </w:r>
      <w:r w:rsidR="0004108E">
        <w:rPr>
          <w:rFonts w:cstheme="minorHAnsi"/>
        </w:rPr>
        <w:t xml:space="preserve"> e supporto nella realizzazione di grafiche per eventi con supporto attraverso i social </w:t>
      </w:r>
      <w:r>
        <w:rPr>
          <w:rFonts w:cstheme="minorHAnsi"/>
        </w:rPr>
        <w:t>;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8. assistenza software e hardware</w:t>
      </w:r>
      <w:r>
        <w:rPr>
          <w:rFonts w:cstheme="minorHAnsi"/>
        </w:rPr>
        <w:t xml:space="preserve"> da remoto 24/24 e 7/7</w:t>
      </w:r>
      <w:r w:rsidR="0004108E">
        <w:rPr>
          <w:rFonts w:cstheme="minorHAnsi"/>
        </w:rPr>
        <w:t>;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9. Accesso a dati ed informazioni quali: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Numero dei visitatori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Incasso generato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Provenienze nazionali e internazionali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Vendite per operatore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Indagini per periodi</w:t>
      </w:r>
    </w:p>
    <w:p w:rsidR="00C464F2" w:rsidRP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>-  Confronto dell’andamento a livello mensile e annuale</w:t>
      </w:r>
    </w:p>
    <w:p w:rsidR="00C464F2" w:rsidRDefault="00C464F2" w:rsidP="00C464F2">
      <w:pPr>
        <w:rPr>
          <w:rFonts w:cstheme="minorHAnsi"/>
        </w:rPr>
      </w:pPr>
      <w:r w:rsidRPr="00C464F2">
        <w:rPr>
          <w:rFonts w:cstheme="minorHAnsi"/>
        </w:rPr>
        <w:t xml:space="preserve">Ed altri numerosi report </w:t>
      </w:r>
      <w:r w:rsidR="003601F1">
        <w:rPr>
          <w:rFonts w:cstheme="minorHAnsi"/>
        </w:rPr>
        <w:t xml:space="preserve">che </w:t>
      </w:r>
      <w:r w:rsidRPr="00C464F2">
        <w:rPr>
          <w:rFonts w:cstheme="minorHAnsi"/>
        </w:rPr>
        <w:t>forni</w:t>
      </w:r>
      <w:r w:rsidR="003601F1">
        <w:rPr>
          <w:rFonts w:cstheme="minorHAnsi"/>
        </w:rPr>
        <w:t xml:space="preserve">scano </w:t>
      </w:r>
      <w:r w:rsidRPr="00C464F2">
        <w:rPr>
          <w:rFonts w:cstheme="minorHAnsi"/>
        </w:rPr>
        <w:t xml:space="preserve">indicazioni utili per comprendere l’andamento complessivo della struttura  </w:t>
      </w:r>
      <w:r w:rsidR="003601F1">
        <w:rPr>
          <w:rFonts w:cstheme="minorHAnsi"/>
        </w:rPr>
        <w:t xml:space="preserve">finalizzati anche alla </w:t>
      </w:r>
      <w:r w:rsidRPr="00C464F2">
        <w:rPr>
          <w:rFonts w:cstheme="minorHAnsi"/>
        </w:rPr>
        <w:t>promozione della stessa.</w:t>
      </w:r>
      <w:r w:rsidRPr="00C464F2">
        <w:rPr>
          <w:rFonts w:cstheme="minorHAnsi"/>
        </w:rPr>
        <w:cr/>
      </w:r>
    </w:p>
    <w:p w:rsidR="0004108E" w:rsidRDefault="0004108E" w:rsidP="0004108E">
      <w:pPr>
        <w:jc w:val="center"/>
        <w:rPr>
          <w:rFonts w:cstheme="minorHAnsi"/>
        </w:rPr>
      </w:pPr>
      <w:r>
        <w:rPr>
          <w:rFonts w:cstheme="minorHAnsi"/>
        </w:rPr>
        <w:t xml:space="preserve">Art. 3 </w:t>
      </w:r>
      <w:r w:rsidR="009A2739">
        <w:rPr>
          <w:rFonts w:cstheme="minorHAnsi"/>
        </w:rPr>
        <w:t xml:space="preserve"> - </w:t>
      </w:r>
      <w:r>
        <w:rPr>
          <w:rFonts w:cstheme="minorHAnsi"/>
        </w:rPr>
        <w:t>Configurazione della biglietteria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t>La biglietteria elettronica dovrà essere composta da: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Tpv</w:t>
      </w:r>
      <w:proofErr w:type="spellEnd"/>
      <w:r>
        <w:rPr>
          <w:rFonts w:cstheme="minorHAnsi"/>
        </w:rPr>
        <w:t xml:space="preserve"> – </w:t>
      </w:r>
      <w:proofErr w:type="spellStart"/>
      <w:r>
        <w:rPr>
          <w:rFonts w:cstheme="minorHAnsi"/>
        </w:rPr>
        <w:t>All</w:t>
      </w:r>
      <w:proofErr w:type="spellEnd"/>
      <w:r>
        <w:rPr>
          <w:rFonts w:cstheme="minorHAnsi"/>
        </w:rPr>
        <w:t xml:space="preserve">- in- </w:t>
      </w:r>
      <w:proofErr w:type="spellStart"/>
      <w:r>
        <w:rPr>
          <w:rFonts w:cstheme="minorHAnsi"/>
        </w:rPr>
        <w:t>one</w:t>
      </w:r>
      <w:proofErr w:type="spellEnd"/>
      <w:r>
        <w:rPr>
          <w:rFonts w:cstheme="minorHAnsi"/>
        </w:rPr>
        <w:t xml:space="preserve"> con schermo </w:t>
      </w:r>
      <w:proofErr w:type="spellStart"/>
      <w:r>
        <w:rPr>
          <w:rFonts w:cstheme="minorHAnsi"/>
        </w:rPr>
        <w:t>touch</w:t>
      </w:r>
      <w:proofErr w:type="spellEnd"/>
      <w:r>
        <w:rPr>
          <w:rFonts w:cstheme="minorHAnsi"/>
        </w:rPr>
        <w:t>;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t>- stampante termica;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lastRenderedPageBreak/>
        <w:t xml:space="preserve">- Lettore </w:t>
      </w:r>
      <w:proofErr w:type="spellStart"/>
      <w:r>
        <w:rPr>
          <w:rFonts w:cstheme="minorHAnsi"/>
        </w:rPr>
        <w:t>Rfid</w:t>
      </w:r>
      <w:proofErr w:type="spellEnd"/>
      <w:r>
        <w:rPr>
          <w:rFonts w:cstheme="minorHAnsi"/>
        </w:rPr>
        <w:t xml:space="preserve"> Card;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t xml:space="preserve">- Cassetto </w:t>
      </w:r>
      <w:proofErr w:type="spellStart"/>
      <w:r>
        <w:rPr>
          <w:rFonts w:cstheme="minorHAnsi"/>
        </w:rPr>
        <w:t>portasoldi</w:t>
      </w:r>
      <w:proofErr w:type="spellEnd"/>
      <w:r>
        <w:rPr>
          <w:rFonts w:cstheme="minorHAnsi"/>
        </w:rPr>
        <w:t xml:space="preserve"> che si apre ad ogni operazione;</w:t>
      </w:r>
    </w:p>
    <w:p w:rsidR="0004108E" w:rsidRDefault="0004108E" w:rsidP="0004108E">
      <w:pPr>
        <w:rPr>
          <w:rFonts w:cstheme="minorHAnsi"/>
        </w:rPr>
      </w:pPr>
      <w:r>
        <w:rPr>
          <w:rFonts w:cstheme="minorHAnsi"/>
        </w:rPr>
        <w:t xml:space="preserve">- Lettore </w:t>
      </w:r>
      <w:proofErr w:type="spellStart"/>
      <w:r>
        <w:rPr>
          <w:rFonts w:cstheme="minorHAnsi"/>
        </w:rPr>
        <w:t>barcode</w:t>
      </w:r>
      <w:proofErr w:type="spellEnd"/>
      <w:r>
        <w:rPr>
          <w:rFonts w:cstheme="minorHAnsi"/>
        </w:rPr>
        <w:t xml:space="preserve"> per annullo biglietti;</w:t>
      </w:r>
    </w:p>
    <w:p w:rsidR="005E351A" w:rsidRDefault="005E351A" w:rsidP="005E351A">
      <w:pPr>
        <w:jc w:val="center"/>
        <w:rPr>
          <w:rFonts w:cstheme="minorHAnsi"/>
        </w:rPr>
      </w:pPr>
      <w:r>
        <w:rPr>
          <w:rFonts w:cstheme="minorHAnsi"/>
        </w:rPr>
        <w:t xml:space="preserve">Art. 4 </w:t>
      </w:r>
      <w:r w:rsidR="009A2739">
        <w:rPr>
          <w:rFonts w:cstheme="minorHAnsi"/>
        </w:rPr>
        <w:t xml:space="preserve"> - </w:t>
      </w:r>
      <w:r>
        <w:rPr>
          <w:rFonts w:cstheme="minorHAnsi"/>
        </w:rPr>
        <w:t>Audioguide e Radioguide</w:t>
      </w:r>
    </w:p>
    <w:p w:rsidR="00E40B7F" w:rsidRDefault="00E40B7F" w:rsidP="00E40B7F">
      <w:pPr>
        <w:jc w:val="both"/>
        <w:rPr>
          <w:rFonts w:cstheme="minorHAnsi"/>
        </w:rPr>
      </w:pPr>
      <w:r w:rsidRPr="00E40B7F">
        <w:rPr>
          <w:rFonts w:cstheme="minorHAnsi"/>
        </w:rPr>
        <w:t>Saranno fornite (in comodato d’uso) n. 100 audioguide plurilingue (quattro oltre l’italiano) e n. 80 radioguide</w:t>
      </w:r>
      <w:r>
        <w:rPr>
          <w:rFonts w:cstheme="minorHAnsi"/>
        </w:rPr>
        <w:t xml:space="preserve"> </w:t>
      </w:r>
      <w:r w:rsidRPr="00E40B7F">
        <w:rPr>
          <w:rFonts w:cstheme="minorHAnsi"/>
        </w:rPr>
        <w:t>per gruppi. Le audioguide saranno incluse nel costo del ticket di accesso ed avranno la finalità di migliorare</w:t>
      </w:r>
      <w:r>
        <w:rPr>
          <w:rFonts w:cstheme="minorHAnsi"/>
        </w:rPr>
        <w:t xml:space="preserve"> </w:t>
      </w:r>
      <w:r w:rsidRPr="00E40B7F">
        <w:rPr>
          <w:rFonts w:cstheme="minorHAnsi"/>
        </w:rPr>
        <w:t>la visita. Il Comune di Milazzo si impegna a non utilizzare contestualmente radioguide, audioguide o altro</w:t>
      </w:r>
      <w:r>
        <w:rPr>
          <w:rFonts w:cstheme="minorHAnsi"/>
        </w:rPr>
        <w:t xml:space="preserve"> </w:t>
      </w:r>
      <w:r w:rsidRPr="00E40B7F">
        <w:rPr>
          <w:rFonts w:cstheme="minorHAnsi"/>
        </w:rPr>
        <w:t>materiale atto al medesimo servizio prodotto da altri fornitori per la durata del contratto;</w:t>
      </w:r>
    </w:p>
    <w:p w:rsidR="005E351A" w:rsidRDefault="00E40B7F" w:rsidP="00E40B7F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</w:t>
      </w:r>
      <w:r w:rsidR="005E351A">
        <w:rPr>
          <w:rFonts w:cstheme="minorHAnsi"/>
        </w:rPr>
        <w:t xml:space="preserve">Art. 5  </w:t>
      </w:r>
      <w:r w:rsidR="009A2739">
        <w:rPr>
          <w:rFonts w:cstheme="minorHAnsi"/>
        </w:rPr>
        <w:t xml:space="preserve">- </w:t>
      </w:r>
      <w:r w:rsidR="005E351A">
        <w:rPr>
          <w:rFonts w:cstheme="minorHAnsi"/>
        </w:rPr>
        <w:t>Segnaletica</w:t>
      </w:r>
    </w:p>
    <w:p w:rsidR="005E351A" w:rsidRDefault="005E351A" w:rsidP="00E40B7F">
      <w:pPr>
        <w:jc w:val="both"/>
        <w:rPr>
          <w:rFonts w:cstheme="minorHAnsi"/>
        </w:rPr>
      </w:pPr>
      <w:r>
        <w:rPr>
          <w:rFonts w:cstheme="minorHAnsi"/>
        </w:rPr>
        <w:t>La Ditta doterà la struttura di segnaletica interna finalizzata ad una migliore esperienza di visita;</w:t>
      </w:r>
    </w:p>
    <w:p w:rsidR="005E351A" w:rsidRDefault="005E351A" w:rsidP="00E40B7F">
      <w:pPr>
        <w:jc w:val="center"/>
        <w:rPr>
          <w:rFonts w:cstheme="minorHAnsi"/>
        </w:rPr>
      </w:pPr>
      <w:r>
        <w:rPr>
          <w:rFonts w:cstheme="minorHAnsi"/>
        </w:rPr>
        <w:t xml:space="preserve">Art. 6  </w:t>
      </w:r>
      <w:r w:rsidR="009A2739">
        <w:rPr>
          <w:rFonts w:cstheme="minorHAnsi"/>
        </w:rPr>
        <w:t xml:space="preserve">- </w:t>
      </w:r>
      <w:r>
        <w:rPr>
          <w:rFonts w:cstheme="minorHAnsi"/>
        </w:rPr>
        <w:t>Promozione</w:t>
      </w:r>
    </w:p>
    <w:p w:rsidR="00D74BCD" w:rsidRPr="00C464F2" w:rsidRDefault="00D74BCD" w:rsidP="00E40B7F">
      <w:pPr>
        <w:jc w:val="both"/>
        <w:rPr>
          <w:rFonts w:cstheme="minorHAnsi"/>
        </w:rPr>
      </w:pPr>
      <w:r>
        <w:rPr>
          <w:rFonts w:cstheme="minorHAnsi"/>
        </w:rPr>
        <w:t>La Ditta adotterà le migliori strategie di marketing attraverso il sito dell’azienda con azioni tradizionali (conferenze, comunicati stampa) ed azioni di web marketing e supporto nella realizzazione di grafiche per eventi con supporto attraverso i social;</w:t>
      </w:r>
    </w:p>
    <w:p w:rsidR="0004108E" w:rsidRDefault="00166B42" w:rsidP="00E40B7F">
      <w:pPr>
        <w:jc w:val="center"/>
        <w:rPr>
          <w:rFonts w:cstheme="minorHAnsi"/>
        </w:rPr>
      </w:pPr>
      <w:r>
        <w:rPr>
          <w:rFonts w:cstheme="minorHAnsi"/>
        </w:rPr>
        <w:t xml:space="preserve">Art. 7 </w:t>
      </w:r>
      <w:r w:rsidR="009A2739">
        <w:rPr>
          <w:rFonts w:cstheme="minorHAnsi"/>
        </w:rPr>
        <w:t xml:space="preserve"> - </w:t>
      </w:r>
      <w:r w:rsidR="0004108E">
        <w:rPr>
          <w:rFonts w:cstheme="minorHAnsi"/>
        </w:rPr>
        <w:t>report</w:t>
      </w:r>
    </w:p>
    <w:p w:rsidR="005E351A" w:rsidRDefault="0004108E" w:rsidP="00E40B7F">
      <w:pPr>
        <w:jc w:val="both"/>
        <w:rPr>
          <w:rFonts w:cstheme="minorHAnsi"/>
        </w:rPr>
      </w:pPr>
      <w:r>
        <w:rPr>
          <w:rFonts w:cstheme="minorHAnsi"/>
        </w:rPr>
        <w:t>Saranno forniti account riservati</w:t>
      </w:r>
      <w:r w:rsidR="005E351A">
        <w:rPr>
          <w:rFonts w:cstheme="minorHAnsi"/>
        </w:rPr>
        <w:t xml:space="preserve"> per l’accesso ad informazioni ed indicazioni utili per comprendere l’andamento complessivo della struttura e per fornire indicazioni finalizzate alla sua promozione.</w:t>
      </w:r>
    </w:p>
    <w:p w:rsidR="005E351A" w:rsidRDefault="005E351A" w:rsidP="00E40B7F">
      <w:pPr>
        <w:jc w:val="both"/>
        <w:rPr>
          <w:rFonts w:cstheme="minorHAnsi"/>
        </w:rPr>
      </w:pPr>
      <w:r>
        <w:rPr>
          <w:rFonts w:cstheme="minorHAnsi"/>
        </w:rPr>
        <w:t xml:space="preserve">Tali informazioni, aggiornate in tempo reale, dovranno essere accessibili su pc, </w:t>
      </w:r>
      <w:proofErr w:type="spellStart"/>
      <w:r>
        <w:rPr>
          <w:rFonts w:cstheme="minorHAnsi"/>
        </w:rPr>
        <w:t>smartphone</w:t>
      </w:r>
      <w:proofErr w:type="spellEnd"/>
      <w:r>
        <w:rPr>
          <w:rFonts w:cstheme="minorHAnsi"/>
        </w:rPr>
        <w:t xml:space="preserve"> e </w:t>
      </w:r>
      <w:proofErr w:type="spellStart"/>
      <w:r>
        <w:rPr>
          <w:rFonts w:cstheme="minorHAnsi"/>
        </w:rPr>
        <w:t>tablet</w:t>
      </w:r>
      <w:proofErr w:type="spellEnd"/>
      <w:r>
        <w:rPr>
          <w:rFonts w:cstheme="minorHAnsi"/>
        </w:rPr>
        <w:t>.</w:t>
      </w:r>
    </w:p>
    <w:p w:rsidR="0080550F" w:rsidRDefault="0004108E" w:rsidP="00E40B7F">
      <w:pPr>
        <w:jc w:val="center"/>
      </w:pPr>
      <w:r>
        <w:t>Art</w:t>
      </w:r>
      <w:r w:rsidR="00166B42">
        <w:t>. 8</w:t>
      </w:r>
      <w:r>
        <w:t xml:space="preserve"> </w:t>
      </w:r>
      <w:r w:rsidR="009A2739">
        <w:t xml:space="preserve"> - </w:t>
      </w:r>
      <w:r w:rsidR="0080550F">
        <w:t>Durata della concessione</w:t>
      </w:r>
    </w:p>
    <w:p w:rsidR="0080550F" w:rsidRDefault="0080550F" w:rsidP="00E40B7F">
      <w:pPr>
        <w:jc w:val="both"/>
      </w:pPr>
      <w:r>
        <w:t xml:space="preserve">La presente concessione ha la durata di anni </w:t>
      </w:r>
      <w:r w:rsidR="004D1EFA">
        <w:t>due</w:t>
      </w:r>
      <w:r w:rsidR="00C464F2">
        <w:t xml:space="preserve"> </w:t>
      </w:r>
      <w:r w:rsidR="002D2EB6">
        <w:t>decorren</w:t>
      </w:r>
      <w:r w:rsidR="00C464F2">
        <w:t>ti dalla data di inizio del servizio/stipula del</w:t>
      </w:r>
      <w:r w:rsidR="000C7590">
        <w:t>l</w:t>
      </w:r>
      <w:r w:rsidR="00C464F2">
        <w:t>a convenzione.</w:t>
      </w:r>
    </w:p>
    <w:p w:rsidR="0080550F" w:rsidRDefault="0080550F" w:rsidP="00E40B7F">
      <w:pPr>
        <w:jc w:val="both"/>
      </w:pPr>
      <w:r>
        <w:t>Alla scad</w:t>
      </w:r>
      <w:r w:rsidR="0052082A">
        <w:t>enza</w:t>
      </w:r>
      <w:r w:rsidR="000C7590">
        <w:t xml:space="preserve"> del termine</w:t>
      </w:r>
      <w:r w:rsidR="0052082A">
        <w:t xml:space="preserve"> il Comune d</w:t>
      </w:r>
      <w:r w:rsidR="002D2EB6">
        <w:t>i</w:t>
      </w:r>
      <w:r w:rsidR="0052082A">
        <w:t xml:space="preserve"> </w:t>
      </w:r>
      <w:r w:rsidR="002D2EB6">
        <w:t>Milazzo</w:t>
      </w:r>
      <w:r>
        <w:t xml:space="preserve"> si riserva la facoltà, in accordo con il Concessionario, di</w:t>
      </w:r>
      <w:r w:rsidR="002D2EB6">
        <w:t xml:space="preserve"> </w:t>
      </w:r>
      <w:r w:rsidR="000C7590">
        <w:t xml:space="preserve">prorogare </w:t>
      </w:r>
      <w:r w:rsidR="004D1EFA">
        <w:t>la concessione per ulteriori due</w:t>
      </w:r>
      <w:r>
        <w:t xml:space="preserve"> anni.</w:t>
      </w:r>
    </w:p>
    <w:p w:rsidR="0080550F" w:rsidRDefault="0080550F" w:rsidP="00E40B7F">
      <w:pPr>
        <w:jc w:val="center"/>
      </w:pPr>
      <w:r>
        <w:t xml:space="preserve">Art. </w:t>
      </w:r>
      <w:r w:rsidR="00166B42">
        <w:t>9</w:t>
      </w:r>
      <w:r w:rsidR="00215D49">
        <w:t xml:space="preserve"> </w:t>
      </w:r>
      <w:r w:rsidR="00C464F2">
        <w:t>–</w:t>
      </w:r>
      <w:r w:rsidR="00215D49">
        <w:t xml:space="preserve"> </w:t>
      </w:r>
      <w:r w:rsidR="00C464F2">
        <w:t>costo del servizio</w:t>
      </w:r>
    </w:p>
    <w:p w:rsidR="0080550F" w:rsidRDefault="00C464F2" w:rsidP="00E40B7F">
      <w:pPr>
        <w:jc w:val="both"/>
      </w:pPr>
      <w:r>
        <w:t xml:space="preserve">Il </w:t>
      </w:r>
      <w:r w:rsidR="002D2EB6">
        <w:t>Comune di Milazzo</w:t>
      </w:r>
      <w:r>
        <w:t xml:space="preserve"> corrisponderà alla Ditta la somma di Euro 1,00 (uno) per ogni biglietto di ingresso a pagamento emesso. Il Pagamento avverrà con cadenza trimestrale previa fatturazione</w:t>
      </w:r>
      <w:r w:rsidR="00223378">
        <w:t xml:space="preserve"> e comunque fino al raggiungimento della soglia massima di Euro 39.800,00 nei due anni</w:t>
      </w:r>
      <w:r w:rsidR="00393FB2">
        <w:t>.</w:t>
      </w:r>
      <w:bookmarkStart w:id="0" w:name="_GoBack"/>
      <w:bookmarkEnd w:id="0"/>
    </w:p>
    <w:p w:rsidR="005E351A" w:rsidRDefault="005E351A" w:rsidP="00E40B7F">
      <w:pPr>
        <w:jc w:val="center"/>
      </w:pPr>
      <w:r>
        <w:t xml:space="preserve">Art. </w:t>
      </w:r>
      <w:r w:rsidR="00166B42">
        <w:t>10</w:t>
      </w:r>
      <w:r>
        <w:t xml:space="preserve"> - Manutenzione</w:t>
      </w:r>
    </w:p>
    <w:p w:rsidR="0080550F" w:rsidRDefault="00166B42" w:rsidP="00E40B7F">
      <w:pPr>
        <w:jc w:val="both"/>
      </w:pPr>
      <w:r>
        <w:t xml:space="preserve">La Ditta si impegna a garantire assistenza del software da remoto 24/24 e 7/7 a condizione che il computer sia connesso ad internet. Per i guasti all’hardware interverrà tramite un operatore </w:t>
      </w:r>
      <w:r w:rsidR="000C7590">
        <w:t xml:space="preserve">o attraverso la </w:t>
      </w:r>
      <w:r>
        <w:t xml:space="preserve">sostituzione delle attrezzature entro il termine massimo di giorni 3 (tre). </w:t>
      </w:r>
    </w:p>
    <w:p w:rsidR="0080550F" w:rsidRDefault="0080550F" w:rsidP="00215D49">
      <w:pPr>
        <w:jc w:val="both"/>
      </w:pPr>
      <w:r>
        <w:t>La Ditta è obbligata ad eseguire gli interventi concordati entro i termini previsti dalle parti.</w:t>
      </w:r>
    </w:p>
    <w:p w:rsidR="0080550F" w:rsidRDefault="0080550F" w:rsidP="00215D49">
      <w:pPr>
        <w:jc w:val="both"/>
      </w:pPr>
      <w:r>
        <w:lastRenderedPageBreak/>
        <w:t xml:space="preserve">In caso di mancata realizzazione dei suddetti </w:t>
      </w:r>
      <w:r w:rsidR="008533E8">
        <w:t xml:space="preserve">interventi ordinari concordati il Comune di Milazzo </w:t>
      </w:r>
      <w:r>
        <w:t>provvederà a comunicare alla Ditta la contestazione di addebito assegnando 10 (dieci)</w:t>
      </w:r>
      <w:r w:rsidR="00A80505">
        <w:t xml:space="preserve"> </w:t>
      </w:r>
      <w:r>
        <w:t>giorni per eventuali osservazioni e/o controdeduzioni.</w:t>
      </w:r>
    </w:p>
    <w:p w:rsidR="0080550F" w:rsidRDefault="0080550F" w:rsidP="00215D49">
      <w:pPr>
        <w:jc w:val="both"/>
      </w:pPr>
      <w:r>
        <w:t>Per l’intera durata del contratto</w:t>
      </w:r>
      <w:r w:rsidR="000D738F">
        <w:t>, è specifico impegno del Concessionario</w:t>
      </w:r>
      <w:r>
        <w:t xml:space="preserve"> permettere</w:t>
      </w:r>
      <w:r w:rsidR="003601F1">
        <w:t xml:space="preserve"> la normale attività di vendita dei biglietti</w:t>
      </w:r>
      <w:r>
        <w:t xml:space="preserve">. </w:t>
      </w:r>
    </w:p>
    <w:p w:rsidR="0080550F" w:rsidRDefault="0065498E" w:rsidP="007A74ED">
      <w:pPr>
        <w:jc w:val="center"/>
      </w:pPr>
      <w:r>
        <w:t>Art. 1</w:t>
      </w:r>
      <w:r w:rsidR="00166B42">
        <w:t>1</w:t>
      </w:r>
      <w:r w:rsidR="00215D49">
        <w:t xml:space="preserve"> - </w:t>
      </w:r>
      <w:r w:rsidR="0080550F">
        <w:t>Decadenza della concessione</w:t>
      </w:r>
    </w:p>
    <w:p w:rsidR="0080550F" w:rsidRDefault="0080550F" w:rsidP="00215D49">
      <w:pPr>
        <w:jc w:val="both"/>
      </w:pPr>
      <w:r>
        <w:t>1. E’ facoltà del Concedente dichiarare il Concessionario decaduto dalla concessione,</w:t>
      </w:r>
      <w:r w:rsidR="003601F1">
        <w:t xml:space="preserve"> in caso di grave inadempienza</w:t>
      </w:r>
      <w:r>
        <w:t>, qualora:</w:t>
      </w:r>
    </w:p>
    <w:p w:rsidR="0080550F" w:rsidRDefault="0080550F" w:rsidP="00215D49">
      <w:pPr>
        <w:jc w:val="both"/>
      </w:pPr>
      <w:r>
        <w:t>• non adempia agli obblighi assunti con la stipula del Contratto con la perizia e la</w:t>
      </w:r>
      <w:r w:rsidR="00496A83">
        <w:t xml:space="preserve"> </w:t>
      </w:r>
      <w:r>
        <w:t>diligenza richiesta;</w:t>
      </w:r>
    </w:p>
    <w:p w:rsidR="003601F1" w:rsidRDefault="0080550F" w:rsidP="00215D49">
      <w:pPr>
        <w:jc w:val="both"/>
      </w:pPr>
      <w:r>
        <w:t>• per gravi e/o reiterate violazioni agli obblighi contrattuali;</w:t>
      </w:r>
    </w:p>
    <w:p w:rsidR="0080550F" w:rsidRDefault="0080550F" w:rsidP="00215D49">
      <w:pPr>
        <w:jc w:val="both"/>
      </w:pPr>
      <w:r>
        <w:t>2. Costituiranno inoltre ipotesi di decadenza di diritto dalla concessione i seguenti casi:</w:t>
      </w:r>
    </w:p>
    <w:p w:rsidR="0080550F" w:rsidRDefault="0080550F" w:rsidP="00215D49">
      <w:pPr>
        <w:jc w:val="both"/>
      </w:pPr>
      <w:r>
        <w:t>a) falsa dichiarazione o contraffazione di documenti nel corso della concessione;</w:t>
      </w:r>
    </w:p>
    <w:p w:rsidR="0080550F" w:rsidRDefault="0080550F" w:rsidP="00215D49">
      <w:pPr>
        <w:jc w:val="both"/>
      </w:pPr>
      <w:r>
        <w:t>b) mancata osservanza, grave e reiterata, degli standard qualitativi da parte del</w:t>
      </w:r>
      <w:r w:rsidR="00496A83">
        <w:t xml:space="preserve"> </w:t>
      </w:r>
      <w:r>
        <w:t>Concessionario rilevata dal Concedente a seguito delle verifiche e dei controlli</w:t>
      </w:r>
      <w:r w:rsidR="00496A83">
        <w:t xml:space="preserve"> </w:t>
      </w:r>
      <w:r>
        <w:t xml:space="preserve">effettuati </w:t>
      </w:r>
      <w:r w:rsidR="0065498E">
        <w:t>a</w:t>
      </w:r>
      <w:r>
        <w:t>i sensi del presente Capitolato e dopo che il Concedente</w:t>
      </w:r>
      <w:r w:rsidR="00496A83">
        <w:t xml:space="preserve"> </w:t>
      </w:r>
      <w:r>
        <w:t xml:space="preserve">abbia richiamato il Concessionario al rispetto degli obblighi </w:t>
      </w:r>
      <w:r w:rsidR="00496A83">
        <w:t xml:space="preserve"> c</w:t>
      </w:r>
      <w:r>
        <w:t>ontrattuali in oggetto per</w:t>
      </w:r>
      <w:r w:rsidR="00496A83">
        <w:t xml:space="preserve"> </w:t>
      </w:r>
      <w:r>
        <w:t>più di cinque volte in un anno;</w:t>
      </w:r>
    </w:p>
    <w:p w:rsidR="0080550F" w:rsidRDefault="0080550F" w:rsidP="00215D49">
      <w:pPr>
        <w:jc w:val="both"/>
      </w:pPr>
      <w:r>
        <w:t>Nei casi sopra indicati, il Concedente procederà alla contestazione degli addebiti e fisserà</w:t>
      </w:r>
      <w:r w:rsidR="00496A83">
        <w:t xml:space="preserve"> </w:t>
      </w:r>
      <w:r>
        <w:t>un termine perentorio, non inferiore a giorni 10 (dieci), entro il quale il Concessionario dovrà</w:t>
      </w:r>
      <w:r w:rsidR="00496A83">
        <w:t xml:space="preserve"> </w:t>
      </w:r>
      <w:r>
        <w:t>uniformarsi agli standard richiesti ovvero agli obblighi normativi e/o contrattuali: la</w:t>
      </w:r>
      <w:r w:rsidR="00496A83">
        <w:t xml:space="preserve"> </w:t>
      </w:r>
      <w:r>
        <w:t>contestazione verrà effettuata tramite PEC.</w:t>
      </w:r>
    </w:p>
    <w:p w:rsidR="0080550F" w:rsidRDefault="0080550F" w:rsidP="00215D49">
      <w:pPr>
        <w:jc w:val="both"/>
      </w:pPr>
      <w:r>
        <w:t>La concessione si intenderà decaduta di diritto alla scadenza del termine prefissato in</w:t>
      </w:r>
      <w:r w:rsidR="00496A83">
        <w:t xml:space="preserve"> </w:t>
      </w:r>
      <w:r>
        <w:t>mancanza di tempestivo integrale adempimento.</w:t>
      </w:r>
    </w:p>
    <w:p w:rsidR="0080550F" w:rsidRDefault="0080550F" w:rsidP="00215D49">
      <w:pPr>
        <w:jc w:val="both"/>
      </w:pPr>
      <w:r>
        <w:t>3. La decadenza della concessione non pregiudica in ogni caso il diritto del Concedente ad</w:t>
      </w:r>
      <w:r w:rsidR="00496A83">
        <w:t xml:space="preserve"> </w:t>
      </w:r>
      <w:r>
        <w:t>ottenere il risarcimento dei danni subìti a causa dell’inadempimento.</w:t>
      </w:r>
    </w:p>
    <w:p w:rsidR="0080550F" w:rsidRDefault="00166B42" w:rsidP="00215D49">
      <w:pPr>
        <w:jc w:val="both"/>
      </w:pPr>
      <w:r>
        <w:t>L’accertamento dell’entità p</w:t>
      </w:r>
      <w:r w:rsidR="0080550F">
        <w:t>otrà essere, se richiesto, eseguito in contraddittorio con rappresentanti</w:t>
      </w:r>
      <w:r w:rsidR="00496A83">
        <w:t xml:space="preserve"> </w:t>
      </w:r>
      <w:r w:rsidR="0080550F">
        <w:t>del Concessionario e le risultanze dello stesso verranno verbalizzate e sottoscritte dai</w:t>
      </w:r>
      <w:r w:rsidR="00496A83">
        <w:t xml:space="preserve"> </w:t>
      </w:r>
      <w:r w:rsidR="0080550F">
        <w:t>presenti.</w:t>
      </w:r>
    </w:p>
    <w:p w:rsidR="0080550F" w:rsidRDefault="0080550F" w:rsidP="00215D49">
      <w:pPr>
        <w:jc w:val="both"/>
      </w:pPr>
      <w:r>
        <w:t>Le spese occorrenti per l’eventuale decadenza della concessione, e consequenziali alla</w:t>
      </w:r>
      <w:r w:rsidR="00496A83">
        <w:t xml:space="preserve"> </w:t>
      </w:r>
      <w:r>
        <w:t>stessa, saranno a totale ed esclusivo carico del Concessionario.</w:t>
      </w:r>
    </w:p>
    <w:p w:rsidR="0080550F" w:rsidRDefault="0080550F" w:rsidP="00215D49">
      <w:pPr>
        <w:jc w:val="center"/>
      </w:pPr>
      <w:r>
        <w:t>Ar</w:t>
      </w:r>
      <w:r w:rsidR="00B44481">
        <w:t>t. 1</w:t>
      </w:r>
      <w:r w:rsidR="00166B42">
        <w:t>2</w:t>
      </w:r>
      <w:r w:rsidR="00215D49">
        <w:t xml:space="preserve"> - </w:t>
      </w:r>
      <w:r>
        <w:t>Recesso dalla concessione da parte del Concessionario</w:t>
      </w:r>
    </w:p>
    <w:p w:rsidR="0080550F" w:rsidRDefault="0080550F" w:rsidP="00215D49">
      <w:pPr>
        <w:jc w:val="both"/>
      </w:pPr>
      <w:r>
        <w:t>Il Concessionario potrà recedere dal Contratto di concessione in qualsiasi momento con</w:t>
      </w:r>
      <w:r w:rsidR="00496A83">
        <w:t xml:space="preserve"> </w:t>
      </w:r>
      <w:r>
        <w:t xml:space="preserve">preavviso di almeno 12 (dodici) </w:t>
      </w:r>
      <w:r w:rsidR="00166B42">
        <w:t>mesi da comunicare tramite PEC.</w:t>
      </w:r>
    </w:p>
    <w:p w:rsidR="0080550F" w:rsidRDefault="00B44481" w:rsidP="00215D49">
      <w:pPr>
        <w:jc w:val="center"/>
      </w:pPr>
      <w:r>
        <w:t xml:space="preserve">Art. </w:t>
      </w:r>
      <w:r w:rsidR="00166B42">
        <w:t>13</w:t>
      </w:r>
      <w:r w:rsidR="00215D49">
        <w:t xml:space="preserve"> - </w:t>
      </w:r>
      <w:r w:rsidR="0080550F">
        <w:t>Revoca della concessione da parte del Concedente</w:t>
      </w:r>
    </w:p>
    <w:p w:rsidR="0080550F" w:rsidRDefault="0080550F" w:rsidP="00215D49">
      <w:pPr>
        <w:jc w:val="both"/>
      </w:pPr>
      <w:r>
        <w:t>Il Concedente può procedere, con il rispetto del termine di preavviso di dodici mesi, alla</w:t>
      </w:r>
      <w:r w:rsidR="00496A83">
        <w:t xml:space="preserve"> </w:t>
      </w:r>
      <w:r>
        <w:t>revoca della concessione in caso di sopravvenienza di esigenze di pubblico interesse</w:t>
      </w:r>
      <w:r w:rsidR="00496A83">
        <w:t xml:space="preserve"> </w:t>
      </w:r>
      <w:r>
        <w:t>ovvero nel caso di mutamento della situazione di fatto o di nuova valutazione dell’interesse</w:t>
      </w:r>
      <w:r w:rsidR="00496A83">
        <w:t xml:space="preserve"> </w:t>
      </w:r>
      <w:r>
        <w:t>pubblico originario.</w:t>
      </w:r>
    </w:p>
    <w:p w:rsidR="0080550F" w:rsidRDefault="00B44481" w:rsidP="00215D49">
      <w:pPr>
        <w:jc w:val="center"/>
      </w:pPr>
      <w:r>
        <w:t xml:space="preserve">Art. </w:t>
      </w:r>
      <w:r w:rsidR="00166B42">
        <w:t>14</w:t>
      </w:r>
      <w:r w:rsidR="00215D49">
        <w:t xml:space="preserve">- </w:t>
      </w:r>
      <w:r w:rsidR="0080550F">
        <w:t>Controversie e Foro Competente</w:t>
      </w:r>
    </w:p>
    <w:p w:rsidR="0080550F" w:rsidRDefault="0080550F" w:rsidP="00215D49">
      <w:pPr>
        <w:jc w:val="both"/>
      </w:pPr>
      <w:r>
        <w:lastRenderedPageBreak/>
        <w:t>Per la definizione delle controversie che dovessero insorgere in ordine alla presente</w:t>
      </w:r>
      <w:r w:rsidR="00496A83">
        <w:t xml:space="preserve"> </w:t>
      </w:r>
      <w:r>
        <w:t>concessione, le parti proporranno domanda avanti al Giudice competente in base alla</w:t>
      </w:r>
      <w:r w:rsidR="00496A83">
        <w:t xml:space="preserve"> </w:t>
      </w:r>
      <w:r>
        <w:t>normativa vigente. Per le vertenze rientranti nella giurisdizione del Giudice ordinario, le parti</w:t>
      </w:r>
      <w:r w:rsidR="00496A83">
        <w:t xml:space="preserve"> </w:t>
      </w:r>
      <w:r>
        <w:t xml:space="preserve">eleggono quale foro competente, in via esclusiva, quello di </w:t>
      </w:r>
      <w:r w:rsidR="00B44481">
        <w:t>Barcellona P.G..</w:t>
      </w:r>
      <w:r>
        <w:t xml:space="preserve"> </w:t>
      </w:r>
    </w:p>
    <w:p w:rsidR="0080550F" w:rsidRDefault="00496A83" w:rsidP="00215D49">
      <w:pPr>
        <w:jc w:val="center"/>
      </w:pPr>
      <w:r>
        <w:t xml:space="preserve">Art. </w:t>
      </w:r>
      <w:r w:rsidR="00166B42">
        <w:t>15</w:t>
      </w:r>
      <w:r w:rsidR="00215D49">
        <w:t xml:space="preserve"> - </w:t>
      </w:r>
      <w:r w:rsidR="0080550F">
        <w:t>Rinvio ad altre norme</w:t>
      </w:r>
    </w:p>
    <w:p w:rsidR="0080550F" w:rsidRDefault="0080550F" w:rsidP="00215D49">
      <w:pPr>
        <w:jc w:val="both"/>
      </w:pPr>
      <w:r>
        <w:t>Per quanto non esplicitamente previsto nel presente Capitolato si fa rinvio alle Leggi e</w:t>
      </w:r>
      <w:r w:rsidR="00496A83">
        <w:t xml:space="preserve"> </w:t>
      </w:r>
      <w:r>
        <w:t>Regolamenti in vigore, in quanto applicabili, ed alle disposizioni del Codice Civile.</w:t>
      </w:r>
    </w:p>
    <w:p w:rsidR="0080550F" w:rsidRDefault="00B44481" w:rsidP="00215D49">
      <w:pPr>
        <w:jc w:val="center"/>
      </w:pPr>
      <w:r>
        <w:t xml:space="preserve">Art. </w:t>
      </w:r>
      <w:r w:rsidR="00166B42">
        <w:t>16</w:t>
      </w:r>
      <w:r w:rsidR="00215D49">
        <w:t xml:space="preserve"> - </w:t>
      </w:r>
      <w:r w:rsidR="0080550F">
        <w:t>Informativa per il trattamento dei dati personali</w:t>
      </w:r>
    </w:p>
    <w:p w:rsidR="00EA2911" w:rsidRDefault="0080550F" w:rsidP="00215D49">
      <w:pPr>
        <w:jc w:val="both"/>
      </w:pPr>
      <w:r>
        <w:t>Ai sensi del D.</w:t>
      </w:r>
      <w:r w:rsidR="009A2739">
        <w:t xml:space="preserve"> </w:t>
      </w:r>
      <w:r>
        <w:t>Lgs. 30 giugno 2003, n. 196 e successive modifiche ed integrazioni, i dati</w:t>
      </w:r>
      <w:r w:rsidR="00215D49">
        <w:t xml:space="preserve"> </w:t>
      </w:r>
      <w:r>
        <w:t>forniti dai concorrenti sono trattati dal Concedente esclusivamente per le finalità connesse</w:t>
      </w:r>
      <w:r w:rsidR="00215D49">
        <w:t xml:space="preserve"> </w:t>
      </w:r>
      <w:r>
        <w:t>alla procedura di gara e per la successiva stipula e gestione del contratto. Il titolare ed il</w:t>
      </w:r>
      <w:r w:rsidR="00215D49">
        <w:t xml:space="preserve"> </w:t>
      </w:r>
      <w:r>
        <w:t xml:space="preserve">responsabile del trattamento dei dati in questione è </w:t>
      </w:r>
      <w:r w:rsidR="00215D49">
        <w:t>il Comune di Milazzo</w:t>
      </w:r>
      <w:r>
        <w:t>.</w:t>
      </w:r>
    </w:p>
    <w:sectPr w:rsidR="00EA2911" w:rsidSect="000C7590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FB" w:rsidRDefault="00F47BFB" w:rsidP="005F6C88">
      <w:pPr>
        <w:spacing w:after="0" w:line="240" w:lineRule="auto"/>
      </w:pPr>
      <w:r>
        <w:separator/>
      </w:r>
    </w:p>
  </w:endnote>
  <w:endnote w:type="continuationSeparator" w:id="0">
    <w:p w:rsidR="00F47BFB" w:rsidRDefault="00F47BFB" w:rsidP="005F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FB" w:rsidRDefault="00F47BFB" w:rsidP="005F6C88">
      <w:pPr>
        <w:spacing w:after="0" w:line="240" w:lineRule="auto"/>
      </w:pPr>
      <w:r>
        <w:separator/>
      </w:r>
    </w:p>
  </w:footnote>
  <w:footnote w:type="continuationSeparator" w:id="0">
    <w:p w:rsidR="00F47BFB" w:rsidRDefault="00F47BFB" w:rsidP="005F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4C1"/>
    <w:multiLevelType w:val="hybridMultilevel"/>
    <w:tmpl w:val="4F06F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22"/>
    <w:rsid w:val="00013646"/>
    <w:rsid w:val="0004108E"/>
    <w:rsid w:val="000C7590"/>
    <w:rsid w:val="000D738F"/>
    <w:rsid w:val="00127A72"/>
    <w:rsid w:val="00166B42"/>
    <w:rsid w:val="001B268D"/>
    <w:rsid w:val="00215D49"/>
    <w:rsid w:val="00223378"/>
    <w:rsid w:val="00242852"/>
    <w:rsid w:val="00292029"/>
    <w:rsid w:val="002D2EB6"/>
    <w:rsid w:val="002E76DC"/>
    <w:rsid w:val="0034539E"/>
    <w:rsid w:val="003601F1"/>
    <w:rsid w:val="00393FB2"/>
    <w:rsid w:val="00460503"/>
    <w:rsid w:val="00496A83"/>
    <w:rsid w:val="004D1EFA"/>
    <w:rsid w:val="005110AE"/>
    <w:rsid w:val="0052082A"/>
    <w:rsid w:val="005377F3"/>
    <w:rsid w:val="005E351A"/>
    <w:rsid w:val="005F6C88"/>
    <w:rsid w:val="00637798"/>
    <w:rsid w:val="0065498E"/>
    <w:rsid w:val="0067321E"/>
    <w:rsid w:val="006C4958"/>
    <w:rsid w:val="006E2324"/>
    <w:rsid w:val="007A74ED"/>
    <w:rsid w:val="007B6DB0"/>
    <w:rsid w:val="007C6704"/>
    <w:rsid w:val="0080550F"/>
    <w:rsid w:val="0082222E"/>
    <w:rsid w:val="008533E8"/>
    <w:rsid w:val="009653AE"/>
    <w:rsid w:val="009A2739"/>
    <w:rsid w:val="00A73A9A"/>
    <w:rsid w:val="00A80505"/>
    <w:rsid w:val="00AC5671"/>
    <w:rsid w:val="00B44481"/>
    <w:rsid w:val="00B57822"/>
    <w:rsid w:val="00BA5FDB"/>
    <w:rsid w:val="00BB03D9"/>
    <w:rsid w:val="00C00602"/>
    <w:rsid w:val="00C116AE"/>
    <w:rsid w:val="00C464F2"/>
    <w:rsid w:val="00D74BCD"/>
    <w:rsid w:val="00DA033E"/>
    <w:rsid w:val="00DA6693"/>
    <w:rsid w:val="00DB4B10"/>
    <w:rsid w:val="00E40B7F"/>
    <w:rsid w:val="00EA2911"/>
    <w:rsid w:val="00EB3067"/>
    <w:rsid w:val="00EE60DB"/>
    <w:rsid w:val="00F47BFB"/>
    <w:rsid w:val="00F73C7D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6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6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C88"/>
  </w:style>
  <w:style w:type="paragraph" w:styleId="Pidipagina">
    <w:name w:val="footer"/>
    <w:basedOn w:val="Normale"/>
    <w:link w:val="PidipaginaCarattere"/>
    <w:uiPriority w:val="99"/>
    <w:unhideWhenUsed/>
    <w:rsid w:val="005F6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76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6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C88"/>
  </w:style>
  <w:style w:type="paragraph" w:styleId="Pidipagina">
    <w:name w:val="footer"/>
    <w:basedOn w:val="Normale"/>
    <w:link w:val="PidipaginaCarattere"/>
    <w:uiPriority w:val="99"/>
    <w:unhideWhenUsed/>
    <w:rsid w:val="005F6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7E1A-6B00-49AB-A426-F38CFCDD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2020-02-12T10:14:00Z</cp:lastPrinted>
  <dcterms:created xsi:type="dcterms:W3CDTF">2020-02-06T15:19:00Z</dcterms:created>
  <dcterms:modified xsi:type="dcterms:W3CDTF">2020-02-20T10:48:00Z</dcterms:modified>
</cp:coreProperties>
</file>